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B14E" w14:textId="77777777" w:rsidR="003F3F7D" w:rsidRDefault="003F3F7D" w:rsidP="003F3F7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AE5C5CB" w14:textId="77777777" w:rsidR="003F3F7D" w:rsidRDefault="003F3F7D" w:rsidP="003F3F7D">
      <w:pPr>
        <w:pStyle w:val="ConsPlusTitle"/>
        <w:jc w:val="center"/>
      </w:pPr>
    </w:p>
    <w:p w14:paraId="6BE1C905" w14:textId="77777777" w:rsidR="003F3F7D" w:rsidRDefault="003F3F7D" w:rsidP="003F3F7D">
      <w:pPr>
        <w:pStyle w:val="ConsPlusTitle"/>
        <w:jc w:val="center"/>
      </w:pPr>
      <w:r>
        <w:t>ПОСТАНОВЛЕНИЕ</w:t>
      </w:r>
    </w:p>
    <w:p w14:paraId="4FE9C192" w14:textId="4C617C32" w:rsidR="003F3F7D" w:rsidRDefault="003F3F7D" w:rsidP="003F3F7D">
      <w:pPr>
        <w:pStyle w:val="ConsPlusTitle"/>
        <w:jc w:val="center"/>
      </w:pPr>
      <w:r>
        <w:t>от 2</w:t>
      </w:r>
      <w:r w:rsidR="00B5204E">
        <w:t>9</w:t>
      </w:r>
      <w:r>
        <w:t xml:space="preserve"> декабря 202</w:t>
      </w:r>
      <w:r w:rsidR="00B5204E">
        <w:t>2</w:t>
      </w:r>
      <w:r>
        <w:t xml:space="preserve"> г. N 2</w:t>
      </w:r>
      <w:r w:rsidR="00B5204E">
        <w:t>497</w:t>
      </w:r>
    </w:p>
    <w:p w14:paraId="55B3E883" w14:textId="77777777" w:rsidR="003F3F7D" w:rsidRDefault="003F3F7D" w:rsidP="003F3F7D">
      <w:pPr>
        <w:pStyle w:val="ConsPlusTitle"/>
        <w:jc w:val="center"/>
      </w:pPr>
    </w:p>
    <w:p w14:paraId="71EBC7B2" w14:textId="77777777" w:rsidR="003F3F7D" w:rsidRDefault="003F3F7D" w:rsidP="003F3F7D">
      <w:pPr>
        <w:pStyle w:val="ConsPlusTitle"/>
        <w:jc w:val="center"/>
      </w:pPr>
      <w:r>
        <w:t>О ПРОГРАММЕ</w:t>
      </w:r>
    </w:p>
    <w:p w14:paraId="7D58FD42" w14:textId="77777777" w:rsidR="003F3F7D" w:rsidRDefault="003F3F7D" w:rsidP="003F3F7D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59F8C815" w14:textId="6C12E679" w:rsidR="003F3F7D" w:rsidRDefault="003F3F7D" w:rsidP="003F3F7D">
      <w:pPr>
        <w:pStyle w:val="ConsPlusTitle"/>
        <w:jc w:val="center"/>
      </w:pPr>
      <w:r>
        <w:t>МЕДИЦИНСКОЙ ПОМОЩИ НА 202</w:t>
      </w:r>
      <w:r w:rsidR="00B5204E">
        <w:t>3</w:t>
      </w:r>
      <w:r>
        <w:t xml:space="preserve"> ГОД И НА ПЛАНОВЫЙ ПЕРИОД</w:t>
      </w:r>
    </w:p>
    <w:p w14:paraId="3820B841" w14:textId="30F2830F" w:rsidR="003F3F7D" w:rsidRDefault="003F3F7D" w:rsidP="003F3F7D">
      <w:pPr>
        <w:pStyle w:val="ConsPlusTitle"/>
        <w:jc w:val="center"/>
      </w:pPr>
      <w:r>
        <w:t>202</w:t>
      </w:r>
      <w:r w:rsidR="00B5204E">
        <w:t>4</w:t>
      </w:r>
      <w:r>
        <w:t xml:space="preserve"> И 202</w:t>
      </w:r>
      <w:r w:rsidR="00B5204E">
        <w:t>5</w:t>
      </w:r>
      <w:r>
        <w:t xml:space="preserve"> ГОДОВ</w:t>
      </w:r>
    </w:p>
    <w:p w14:paraId="5BD06A3A" w14:textId="77777777" w:rsidR="003F3F7D" w:rsidRDefault="003F3F7D" w:rsidP="003F3F7D">
      <w:pPr>
        <w:pStyle w:val="ConsPlusTitle"/>
        <w:jc w:val="center"/>
        <w:outlineLvl w:val="1"/>
      </w:pPr>
    </w:p>
    <w:p w14:paraId="305E2D11" w14:textId="77777777" w:rsidR="003F3F7D" w:rsidRDefault="003F3F7D" w:rsidP="003F3F7D">
      <w:pPr>
        <w:pStyle w:val="ConsPlusTitle"/>
        <w:jc w:val="center"/>
        <w:outlineLvl w:val="1"/>
      </w:pPr>
    </w:p>
    <w:p w14:paraId="21FC3E52" w14:textId="77777777" w:rsidR="00E80A9F" w:rsidRDefault="00E80A9F" w:rsidP="00E80A9F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64EF8A3B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5496ED59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14:paraId="3D1C4919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012D0ECA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389D1288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7CDCB941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3ABBF3B7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57818C1F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14:paraId="1FE95688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14:paraId="55A96E01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14:paraId="5FEE0AF5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Критериями качества медицинской помощи являются:</w:t>
      </w:r>
    </w:p>
    <w:p w14:paraId="4A2736BD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5D6BD36A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0C9A72C9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1C32445E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</w:t>
      </w:r>
      <w:r>
        <w:lastRenderedPageBreak/>
        <w:t>осмотры;</w:t>
      </w:r>
    </w:p>
    <w:p w14:paraId="4F75783B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68923E1B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4D65875F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4B072120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6B8EABC1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5B5FF0DD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0AA841E7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73F4F8CE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17F9F864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6BBACA0D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14:paraId="77E637A0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14:paraId="55F0EC56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14:paraId="16A778C9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год;</w:t>
      </w:r>
    </w:p>
    <w:p w14:paraId="31D16CD2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14:paraId="4A4877CD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14:paraId="5928C033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14:paraId="0B623E5F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14:paraId="52FF6DD2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2C24EAAE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 xml:space="preserve">Целевые значения критериев доступности и качества медицинской помощи на </w:t>
      </w:r>
      <w:r>
        <w:lastRenderedPageBreak/>
        <w:t xml:space="preserve">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rStyle w:val="a3"/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rStyle w:val="a3"/>
            <w:color w:val="0000FF"/>
          </w:rPr>
          <w:t>"Демография"</w:t>
        </w:r>
      </w:hyperlink>
      <w:r>
        <w:t>.</w:t>
      </w:r>
    </w:p>
    <w:p w14:paraId="1F4BE370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14:paraId="3D610B71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4F00BA07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14:paraId="69ED7F6C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14:paraId="573E4D1E" w14:textId="77777777" w:rsidR="00E80A9F" w:rsidRDefault="00E80A9F" w:rsidP="00E80A9F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6C6B912E" w14:textId="77777777" w:rsidR="00DA1BBD" w:rsidRDefault="00DA1BBD"/>
    <w:sectPr w:rsidR="00DA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34"/>
    <w:rsid w:val="003F3F7D"/>
    <w:rsid w:val="009D6706"/>
    <w:rsid w:val="00AC1B34"/>
    <w:rsid w:val="00B5204E"/>
    <w:rsid w:val="00DA1BBD"/>
    <w:rsid w:val="00DB0CF5"/>
    <w:rsid w:val="00E80A9F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150"/>
  <w15:chartTrackingRefBased/>
  <w15:docId w15:val="{825B1BDD-64FB-41C9-ACA9-0828E86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0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C485C8D67B331A3F31498A7DE584738A44A9DBB04350172DB43F049FAD48DA516EAE3B7D5CB7D382071B98CA3DP5H" TargetMode="External"/><Relationship Id="rId4" Type="http://schemas.openxmlformats.org/officeDocument/2006/relationships/hyperlink" Target="consultantplus://offline/ref=D9C485C8D67B331A3F31498A7DE584738A4DA4D1B54D50172DB43F049FAD48DA516EAE3B7D5CB7D382071B98CA3D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2022-01-18T09:58:00Z</dcterms:created>
  <dcterms:modified xsi:type="dcterms:W3CDTF">2023-01-16T08:27:00Z</dcterms:modified>
</cp:coreProperties>
</file>